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16338A" w:rsidRPr="0016338A">
        <w:rPr>
          <w:rFonts w:ascii="Times New Roman" w:hAnsi="Times New Roman" w:cs="Times New Roman"/>
          <w:sz w:val="24"/>
          <w:szCs w:val="24"/>
        </w:rPr>
        <w:t>«СтройПартнер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C42C6D" w:rsidRPr="00766299" w:rsidRDefault="00C42C6D" w:rsidP="00C42C6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6299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66299">
        <w:rPr>
          <w:rFonts w:ascii="Times New Roman" w:hAnsi="Times New Roman"/>
          <w:sz w:val="24"/>
          <w:szCs w:val="24"/>
        </w:rPr>
        <w:t>/</w:t>
      </w:r>
      <w:proofErr w:type="spellStart"/>
      <w:r w:rsidRPr="00766299">
        <w:rPr>
          <w:rFonts w:ascii="Times New Roman" w:hAnsi="Times New Roman"/>
          <w:sz w:val="24"/>
          <w:szCs w:val="24"/>
        </w:rPr>
        <w:t>н</w:t>
      </w:r>
      <w:proofErr w:type="spellEnd"/>
      <w:r w:rsidRPr="00766299">
        <w:rPr>
          <w:rFonts w:ascii="Times New Roman" w:hAnsi="Times New Roman"/>
          <w:sz w:val="24"/>
          <w:szCs w:val="24"/>
        </w:rPr>
        <w:t xml:space="preserve"> от </w:t>
      </w:r>
      <w:r w:rsidR="00A37A71" w:rsidRPr="00A37A71">
        <w:rPr>
          <w:rFonts w:ascii="Times New Roman" w:hAnsi="Times New Roman"/>
          <w:sz w:val="24"/>
          <w:szCs w:val="24"/>
        </w:rPr>
        <w:t>3</w:t>
      </w:r>
      <w:r w:rsidRPr="00A37A71">
        <w:rPr>
          <w:rFonts w:ascii="Times New Roman" w:hAnsi="Times New Roman"/>
          <w:sz w:val="24"/>
          <w:szCs w:val="24"/>
        </w:rPr>
        <w:t>0.06.2017г.</w:t>
      </w:r>
    </w:p>
    <w:p w:rsidR="00EF182A" w:rsidRPr="001476CF" w:rsidRDefault="00EF182A" w:rsidP="00EF18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EF182A" w:rsidRPr="001476CF" w:rsidRDefault="00EF182A" w:rsidP="00EF182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EF182A" w:rsidRDefault="00EF182A" w:rsidP="00EF182A">
      <w:pPr>
        <w:ind w:left="5812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1476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2457D3" w:rsidRPr="001476CF" w:rsidRDefault="002457D3" w:rsidP="00245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2457D3" w:rsidRPr="001476CF" w:rsidRDefault="002457D3" w:rsidP="002457D3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2457D3" w:rsidRPr="001476CF" w:rsidRDefault="002457D3" w:rsidP="002457D3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1476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1476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1476CF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476CF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457D3" w:rsidRPr="001476CF" w:rsidRDefault="002457D3" w:rsidP="00EF182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</w:p>
    <w:p w:rsidR="00012D02" w:rsidRPr="0076629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76629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4455EB" w:rsidRPr="004455EB">
        <w:rPr>
          <w:rFonts w:ascii="Times New Roman" w:hAnsi="Times New Roman" w:cs="Times New Roman"/>
          <w:b/>
          <w:sz w:val="32"/>
          <w:szCs w:val="32"/>
        </w:rPr>
        <w:t xml:space="preserve">инженеров-изыскателей </w:t>
      </w:r>
      <w:r w:rsidR="0016338A" w:rsidRPr="0016338A">
        <w:rPr>
          <w:rFonts w:ascii="Times New Roman" w:hAnsi="Times New Roman" w:cs="Times New Roman"/>
          <w:b/>
          <w:sz w:val="32"/>
          <w:szCs w:val="32"/>
        </w:rPr>
        <w:t>«СтройПартнер</w:t>
      </w:r>
      <w:r w:rsidR="00E85715" w:rsidRPr="00766299">
        <w:rPr>
          <w:rFonts w:ascii="Times New Roman" w:hAnsi="Times New Roman"/>
          <w:b/>
          <w:sz w:val="32"/>
          <w:szCs w:val="32"/>
        </w:rPr>
        <w:t>»</w:t>
      </w:r>
      <w:r w:rsidR="00362A48" w:rsidRPr="0076629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F1697" w:rsidRPr="00766299" w:rsidRDefault="000F1697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17021" w:rsidRPr="0076629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76629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766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766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455EB" w:rsidRPr="004455EB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="0016338A" w:rsidRPr="0016338A">
        <w:rPr>
          <w:rFonts w:ascii="Times New Roman" w:hAnsi="Times New Roman" w:cs="Times New Roman"/>
          <w:sz w:val="24"/>
          <w:szCs w:val="24"/>
        </w:rPr>
        <w:t>«СтройПартнер</w:t>
      </w:r>
      <w:r w:rsidR="00E85715" w:rsidRPr="007662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76629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- договор о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>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76629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76629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76629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76629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76629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76629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76629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подряда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76629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76629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76629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76629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76629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76629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76629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76629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76629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76629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76629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76629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20E29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2457D3" w:rsidRDefault="002457D3" w:rsidP="002457D3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5.7.  Порядок уведомления Ассоциации членом Ассоциации о фактическом совокупном размере обязательств по договорам подряда на выполнение инженерных изысканий, заключенным членом Ассоциации в течение отчетного года с использованием конкурентных способов заключения договоров должен учитывать требования приказа Минстроя России от 10 апреля 2017 года № 700/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</w:rPr>
        <w:t xml:space="preserve"> «</w:t>
      </w:r>
      <w:r>
        <w:rPr>
          <w:rFonts w:ascii="Times New Roman" w:hAnsi="Times New Roman" w:cs="Times New Roman"/>
          <w:b w:val="0"/>
        </w:rPr>
        <w:t xml:space="preserve">Об утверждении Порядка уведомления </w:t>
      </w:r>
      <w:proofErr w:type="spellStart"/>
      <w:r>
        <w:rPr>
          <w:rFonts w:ascii="Times New Roman" w:hAnsi="Times New Roman" w:cs="Times New Roman"/>
          <w:b w:val="0"/>
        </w:rPr>
        <w:t>саморегулируемой</w:t>
      </w:r>
      <w:proofErr w:type="spellEnd"/>
      <w:r>
        <w:rPr>
          <w:rFonts w:ascii="Times New Roman" w:hAnsi="Times New Roman" w:cs="Times New Roman"/>
          <w:b w:val="0"/>
        </w:rPr>
        <w:t xml:space="preserve"> организации, основанной на членстве лиц, выполняющих инженерные изыскания, </w:t>
      </w:r>
      <w:proofErr w:type="spellStart"/>
      <w:r>
        <w:rPr>
          <w:rFonts w:ascii="Times New Roman" w:hAnsi="Times New Roman" w:cs="Times New Roman"/>
          <w:b w:val="0"/>
        </w:rPr>
        <w:t>саморегулируемой</w:t>
      </w:r>
      <w:proofErr w:type="spellEnd"/>
      <w:r>
        <w:rPr>
          <w:rFonts w:ascii="Times New Roman" w:hAnsi="Times New Roman" w:cs="Times New Roman"/>
          <w:b w:val="0"/>
        </w:rPr>
        <w:t xml:space="preserve"> организации, основанной на </w:t>
      </w:r>
      <w:proofErr w:type="gramStart"/>
      <w:r>
        <w:rPr>
          <w:rFonts w:ascii="Times New Roman" w:hAnsi="Times New Roman" w:cs="Times New Roman"/>
          <w:b w:val="0"/>
        </w:rPr>
        <w:t xml:space="preserve">членстве лиц, осуществляющих подготовку проектной документации, </w:t>
      </w:r>
      <w:proofErr w:type="spellStart"/>
      <w:r>
        <w:rPr>
          <w:rFonts w:ascii="Times New Roman" w:hAnsi="Times New Roman" w:cs="Times New Roman"/>
          <w:b w:val="0"/>
        </w:rPr>
        <w:t>саморегулируемой</w:t>
      </w:r>
      <w:proofErr w:type="spellEnd"/>
      <w:r>
        <w:rPr>
          <w:rFonts w:ascii="Times New Roman" w:hAnsi="Times New Roman" w:cs="Times New Roman"/>
          <w:b w:val="0"/>
        </w:rPr>
        <w:t xml:space="preserve"> организации, основанной на членстве лиц, осуществляющих строительство, членом указанной </w:t>
      </w:r>
      <w:proofErr w:type="spellStart"/>
      <w:r>
        <w:rPr>
          <w:rFonts w:ascii="Times New Roman" w:hAnsi="Times New Roman" w:cs="Times New Roman"/>
          <w:b w:val="0"/>
        </w:rPr>
        <w:t>саморегулируемой</w:t>
      </w:r>
      <w:proofErr w:type="spellEnd"/>
      <w:r>
        <w:rPr>
          <w:rFonts w:ascii="Times New Roman" w:hAnsi="Times New Roman" w:cs="Times New Roman"/>
          <w:b w:val="0"/>
        </w:rP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договоров», а именно:</w:t>
      </w:r>
      <w:proofErr w:type="gramEnd"/>
    </w:p>
    <w:p w:rsidR="002457D3" w:rsidRDefault="002457D3" w:rsidP="002457D3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</w:p>
    <w:p w:rsidR="002457D3" w:rsidRDefault="002457D3" w:rsidP="002457D3">
      <w:pPr>
        <w:pStyle w:val="ConsPlusNormal"/>
        <w:ind w:firstLine="567"/>
        <w:jc w:val="both"/>
      </w:pPr>
      <w:proofErr w:type="gramStart"/>
      <w:r>
        <w:t>Уведомление представляется членами Ассоциации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</w:t>
      </w:r>
      <w:proofErr w:type="gramEnd"/>
      <w:r>
        <w:t xml:space="preserve">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2. Член </w:t>
      </w:r>
      <w:proofErr w:type="spellStart"/>
      <w:r>
        <w:t>саморегулируемой</w:t>
      </w:r>
      <w:proofErr w:type="spellEnd"/>
      <w:r>
        <w:t xml:space="preserve"> организации, который выполняет работы по договорам, обязан ежегодно представлять уведомление в Ассоциацию о фактическом совокупном размере обязательств по таким договорам (далее - уведомление)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457D3" w:rsidRDefault="002457D3" w:rsidP="002457D3">
      <w:pPr>
        <w:pStyle w:val="ConsPlusNormal"/>
        <w:ind w:firstLine="567"/>
        <w:jc w:val="both"/>
      </w:pPr>
      <w:r>
        <w:t>3. В целях определения фактического совокупного размера обязатель</w:t>
      </w:r>
      <w:proofErr w:type="gramStart"/>
      <w:r>
        <w:t>ств чл</w:t>
      </w:r>
      <w:proofErr w:type="gramEnd"/>
      <w:r>
        <w:t xml:space="preserve">ена </w:t>
      </w:r>
      <w:proofErr w:type="spellStart"/>
      <w:r>
        <w:t>саморегулируемой</w:t>
      </w:r>
      <w:proofErr w:type="spellEnd"/>
      <w:r>
        <w:t xml:space="preserve"> организации по договорам используется сумма цен по всем таким договорам, действующим на дату ее определения.</w:t>
      </w:r>
    </w:p>
    <w:p w:rsidR="002457D3" w:rsidRDefault="002457D3" w:rsidP="002457D3">
      <w:pPr>
        <w:pStyle w:val="ConsPlusNormal"/>
        <w:ind w:firstLine="567"/>
        <w:jc w:val="both"/>
      </w:pPr>
      <w:r>
        <w:t>4. Уведомление должно содержать:</w:t>
      </w:r>
    </w:p>
    <w:p w:rsidR="002457D3" w:rsidRDefault="002457D3" w:rsidP="002457D3">
      <w:pPr>
        <w:pStyle w:val="ConsPlusNormal"/>
        <w:ind w:firstLine="567"/>
        <w:jc w:val="both"/>
      </w:pPr>
      <w:proofErr w:type="gramStart"/>
      <w:r>
        <w:t xml:space="preserve">а) сведения о являющемся членом </w:t>
      </w:r>
      <w:proofErr w:type="spellStart"/>
      <w:r>
        <w:t>саморегулируемой</w:t>
      </w:r>
      <w:proofErr w:type="spellEnd"/>
      <w:r>
        <w:t xml:space="preserve">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proofErr w:type="spellStart"/>
      <w:r>
        <w:t>саморегулируемой</w:t>
      </w:r>
      <w:proofErr w:type="spellEnd"/>
      <w:r>
        <w:t xml:space="preserve">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proofErr w:type="spellStart"/>
      <w:r>
        <w:t>саморегулируемой</w:t>
      </w:r>
      <w:proofErr w:type="spellEnd"/>
      <w:r>
        <w:t xml:space="preserve"> организации);</w:t>
      </w:r>
      <w:proofErr w:type="gramEnd"/>
    </w:p>
    <w:p w:rsidR="002457D3" w:rsidRDefault="002457D3" w:rsidP="002457D3">
      <w:pPr>
        <w:pStyle w:val="ConsPlusNormal"/>
        <w:ind w:firstLine="567"/>
        <w:jc w:val="both"/>
      </w:pPr>
      <w:r>
        <w:t xml:space="preserve">б) сведения о фактическом совокупном размере обязательств по договорам по состоянию на 1 января отчетного года </w:t>
      </w:r>
      <w:hyperlink r:id="rId8" w:anchor="Par78" w:tooltip="&lt;*&gt; Учитываются обязательства по договорам в рамках:" w:history="1">
        <w:r>
          <w:rPr>
            <w:rStyle w:val="aff0"/>
          </w:rPr>
          <w:t>&lt;*&gt;</w:t>
        </w:r>
      </w:hyperlink>
      <w:r>
        <w:t>;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в) сведения о фактическом совокупном размере обязательств по договорам, которые </w:t>
      </w:r>
      <w:r>
        <w:lastRenderedPageBreak/>
        <w:t xml:space="preserve">были заключены членом </w:t>
      </w:r>
      <w:proofErr w:type="spellStart"/>
      <w:r>
        <w:t>саморегулируемой</w:t>
      </w:r>
      <w:proofErr w:type="spellEnd"/>
      <w:r>
        <w:t xml:space="preserve"> организации в течение отчетного года </w:t>
      </w:r>
      <w:hyperlink r:id="rId9" w:anchor="Par78" w:tooltip="&lt;*&gt; Учитываются обязательства по договорам в рамках:" w:history="1">
        <w:r>
          <w:rPr>
            <w:rStyle w:val="aff0"/>
          </w:rPr>
          <w:t>&lt;*&gt;</w:t>
        </w:r>
      </w:hyperlink>
      <w:r>
        <w:t>;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t>сторонами</w:t>
      </w:r>
      <w:proofErr w:type="gramEnd"/>
      <w: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r:id="rId10" w:anchor="Par78" w:tooltip="&lt;*&gt; Учитываются обязательства по договорам в рамках:" w:history="1">
        <w:r>
          <w:rPr>
            <w:rStyle w:val="aff0"/>
          </w:rPr>
          <w:t>&lt;*&gt;</w:t>
        </w:r>
      </w:hyperlink>
      <w:r>
        <w:t>;</w:t>
      </w:r>
    </w:p>
    <w:p w:rsidR="002457D3" w:rsidRDefault="002457D3" w:rsidP="002457D3">
      <w:pPr>
        <w:pStyle w:val="ConsPlusNormal"/>
        <w:ind w:firstLine="567"/>
        <w:jc w:val="both"/>
      </w:pPr>
      <w:proofErr w:type="spellStart"/>
      <w:r>
        <w:t>д</w:t>
      </w:r>
      <w:proofErr w:type="spellEnd"/>
      <w:r>
        <w:t xml:space="preserve">) сведения о фактическом совокупном размере обязательств по всем договорам, которые заключены членом </w:t>
      </w:r>
      <w:proofErr w:type="spellStart"/>
      <w:r>
        <w:t>саморегулируемой</w:t>
      </w:r>
      <w:proofErr w:type="spellEnd"/>
      <w:r>
        <w:t xml:space="preserve"> организации и исполнение которых на 31 декабря отчетного года не завершено </w:t>
      </w:r>
      <w:hyperlink r:id="rId11" w:anchor="Par78" w:tooltip="&lt;*&gt; Учитываются обязательства по договорам в рамках:" w:history="1">
        <w:r>
          <w:rPr>
            <w:rStyle w:val="aff0"/>
          </w:rPr>
          <w:t>&lt;*&gt;</w:t>
        </w:r>
      </w:hyperlink>
      <w:r>
        <w:t>.</w:t>
      </w:r>
    </w:p>
    <w:p w:rsidR="002457D3" w:rsidRDefault="002457D3" w:rsidP="002457D3">
      <w:pPr>
        <w:pStyle w:val="ConsPlusNormal"/>
        <w:ind w:firstLine="567"/>
        <w:jc w:val="both"/>
      </w:pPr>
      <w:r>
        <w:t>--------------------------------</w:t>
      </w:r>
    </w:p>
    <w:p w:rsidR="002457D3" w:rsidRDefault="002457D3" w:rsidP="002457D3">
      <w:pPr>
        <w:pStyle w:val="ConsPlusNormal"/>
        <w:ind w:firstLine="567"/>
        <w:jc w:val="both"/>
      </w:pPr>
      <w:bookmarkStart w:id="5" w:name="Par78"/>
      <w:bookmarkEnd w:id="5"/>
      <w:r>
        <w:t>&lt;*&gt; Учитываются обязательства по договорам в рамках: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2457D3" w:rsidRDefault="002457D3" w:rsidP="002457D3">
      <w:pPr>
        <w:pStyle w:val="ConsPlusNormal"/>
        <w:ind w:firstLine="567"/>
        <w:jc w:val="both"/>
      </w:pPr>
      <w:r>
        <w:t xml:space="preserve">2. </w:t>
      </w:r>
      <w:proofErr w:type="gramStart"/>
      <w: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>
        <w:t xml:space="preserve"> </w:t>
      </w:r>
      <w:proofErr w:type="gramStart"/>
      <w: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2457D3" w:rsidRDefault="002457D3" w:rsidP="002457D3">
      <w:pPr>
        <w:pStyle w:val="ConsPlusNormal"/>
        <w:ind w:firstLine="567"/>
        <w:jc w:val="both"/>
      </w:pPr>
      <w:r>
        <w:t xml:space="preserve">3. </w:t>
      </w:r>
      <w:proofErr w:type="gramStart"/>
      <w: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2016, N 28, ст. 4740).</w:t>
      </w:r>
      <w:proofErr w:type="gramEnd"/>
    </w:p>
    <w:p w:rsidR="002457D3" w:rsidRDefault="002457D3" w:rsidP="002457D3">
      <w:pPr>
        <w:pStyle w:val="ConsPlusNormal"/>
        <w:ind w:firstLine="567"/>
        <w:jc w:val="both"/>
      </w:pPr>
      <w: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а) совокупный размер обязательств по договорам, которые были заключены членом </w:t>
      </w:r>
      <w:proofErr w:type="spellStart"/>
      <w:r>
        <w:t>саморегулируемой</w:t>
      </w:r>
      <w:proofErr w:type="spellEnd"/>
      <w:r>
        <w:t xml:space="preserve"> организации в течение отчетного года;</w:t>
      </w:r>
    </w:p>
    <w:p w:rsidR="002457D3" w:rsidRDefault="002457D3" w:rsidP="002457D3">
      <w:pPr>
        <w:pStyle w:val="ConsPlusNormal"/>
        <w:ind w:firstLine="567"/>
        <w:jc w:val="both"/>
      </w:pPr>
      <w:proofErr w:type="gramStart"/>
      <w:r>
        <w:t>б) совокупный размер обязательств по договорам, которые были прекращены в течение отчетного года;</w:t>
      </w:r>
      <w:proofErr w:type="gramEnd"/>
    </w:p>
    <w:p w:rsidR="002457D3" w:rsidRDefault="002457D3" w:rsidP="002457D3">
      <w:pPr>
        <w:pStyle w:val="ConsPlusNormal"/>
        <w:ind w:firstLine="567"/>
        <w:jc w:val="both"/>
      </w:pPr>
      <w:r>
        <w:t xml:space="preserve">в) совокупный размер обязательств по всем договорам, которые заключены членом </w:t>
      </w:r>
      <w:proofErr w:type="spellStart"/>
      <w:r>
        <w:t>саморегулируемой</w:t>
      </w:r>
      <w:proofErr w:type="spellEnd"/>
      <w:r>
        <w:t xml:space="preserve"> организации и исполнение которых на 31 декабря отчетного года не завершено.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Член </w:t>
      </w:r>
      <w:proofErr w:type="spellStart"/>
      <w:r>
        <w:t>саморегулируемой</w:t>
      </w:r>
      <w:proofErr w:type="spellEnd"/>
      <w:r>
        <w:t xml:space="preserve"> организации вправе не представлять в </w:t>
      </w:r>
      <w:proofErr w:type="spellStart"/>
      <w:r>
        <w:t>саморегулируемую</w:t>
      </w:r>
      <w:proofErr w:type="spellEnd"/>
      <w:r>
        <w:t xml:space="preserve"> организацию документы, в которых содержится информация, размещаемая в форме открытых данных.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6. Уведомление представляется членом </w:t>
      </w:r>
      <w:proofErr w:type="spellStart"/>
      <w:r>
        <w:t>саморегулируемой</w:t>
      </w:r>
      <w:proofErr w:type="spellEnd"/>
      <w:r>
        <w:t xml:space="preserve"> организации непосредственно в </w:t>
      </w:r>
      <w:proofErr w:type="spellStart"/>
      <w:r>
        <w:t>саморегулируемую</w:t>
      </w:r>
      <w:proofErr w:type="spellEnd"/>
      <w:r>
        <w:t xml:space="preserve"> организацию или посредством направления его заказным почтовым отправлением с описью вложения с уведомлением о вручении либо в </w:t>
      </w:r>
      <w:r>
        <w:lastRenderedPageBreak/>
        <w:t>виде электронного документа, подписанного электронной подписью.</w:t>
      </w:r>
    </w:p>
    <w:p w:rsidR="002457D3" w:rsidRDefault="002457D3" w:rsidP="002457D3">
      <w:pPr>
        <w:pStyle w:val="ConsPlusNormal"/>
        <w:ind w:firstLine="567"/>
        <w:jc w:val="both"/>
      </w:pPr>
      <w:r>
        <w:t xml:space="preserve">В случае представления уведомления непосредственно в </w:t>
      </w:r>
      <w:proofErr w:type="spellStart"/>
      <w:r>
        <w:t>саморегулируемую</w:t>
      </w:r>
      <w:proofErr w:type="spellEnd"/>
      <w: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</w:t>
      </w:r>
      <w:proofErr w:type="spellStart"/>
      <w:r>
        <w:t>саморегулируемой</w:t>
      </w:r>
      <w:proofErr w:type="spellEnd"/>
      <w:r>
        <w:t xml:space="preserve"> организации. При направлении уведомления по почте днем его подачи считается день отправки почтового отправления.</w:t>
      </w:r>
    </w:p>
    <w:p w:rsidR="002457D3" w:rsidRPr="00766299" w:rsidRDefault="002457D3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29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6"/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76629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76629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76629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76629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76629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7662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76629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76629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7662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наименование должности работника с указанием 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76629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76629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СРО. </w:t>
      </w:r>
    </w:p>
    <w:p w:rsidR="00D306E9" w:rsidRPr="00766299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0"/>
      <w:r w:rsidRPr="0076629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7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76629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76629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1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8"/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76629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76629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8.7.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76629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64817332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9"/>
    </w:p>
    <w:p w:rsidR="00C13212" w:rsidRPr="0076629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76629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76629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76629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76629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76629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76629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bookmarkStart w:id="10" w:name="_Toc464817333"/>
      <w:r w:rsidR="00C14E65" w:rsidRPr="0076629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76629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766299">
        <w:rPr>
          <w:rFonts w:ascii="Times New Roman" w:hAnsi="Times New Roman" w:cs="Times New Roman"/>
          <w:sz w:val="20"/>
          <w:szCs w:val="20"/>
        </w:rPr>
        <w:t>1</w:t>
      </w:r>
      <w:r w:rsidR="00476D30" w:rsidRPr="00766299">
        <w:rPr>
          <w:rFonts w:ascii="Times New Roman" w:hAnsi="Times New Roman" w:cs="Times New Roman"/>
          <w:sz w:val="20"/>
          <w:szCs w:val="20"/>
        </w:rPr>
        <w:br/>
      </w:r>
      <w:r w:rsidR="00B50387" w:rsidRPr="00766299">
        <w:rPr>
          <w:rFonts w:ascii="Times New Roman" w:hAnsi="Times New Roman" w:cs="Times New Roman"/>
          <w:sz w:val="20"/>
          <w:szCs w:val="20"/>
        </w:rPr>
        <w:t>к П</w:t>
      </w:r>
      <w:r w:rsidR="001E070D" w:rsidRPr="0076629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76629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10"/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76629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76629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76629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выполняющего инженерные изыскания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32A9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76629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изысканий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C13212" w:rsidRPr="0076629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напрямую с застройщиком (техническим заказчиком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proofErr w:type="gramStart"/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заключаемым с генеральным подрядчиком</w:t>
            </w:r>
          </w:p>
          <w:p w:rsidR="00C13212" w:rsidRPr="0076629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</w:t>
            </w:r>
          </w:p>
          <w:p w:rsidR="00C42C6D" w:rsidRPr="00766299" w:rsidRDefault="00C42C6D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54" w:rsidRPr="00766299" w:rsidRDefault="000D0754" w:rsidP="00C42C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выполнению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выполнению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76629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76629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76629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</w:t>
      </w:r>
      <w:r w:rsidRPr="0076629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766299">
        <w:rPr>
          <w:rFonts w:ascii="Times New Roman" w:hAnsi="Times New Roman" w:cs="Times New Roman"/>
          <w:sz w:val="20"/>
          <w:szCs w:val="20"/>
        </w:rPr>
        <w:t>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76629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766299" w:rsidSect="00012D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76629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766299">
        <w:rPr>
          <w:rFonts w:ascii="Times New Roman" w:hAnsi="Times New Roman" w:cs="Times New Roman"/>
          <w:sz w:val="20"/>
          <w:szCs w:val="20"/>
        </w:rPr>
        <w:t xml:space="preserve"> </w:t>
      </w:r>
      <w:r w:rsidRPr="0076629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76629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76629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76629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04056D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F53071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071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76629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76629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76629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76629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>а 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76629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proofErr w:type="gramStart"/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76629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76629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766299" w:rsidRDefault="00F53071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71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76629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76629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76629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76629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76629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76629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76629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766299" w:rsidRDefault="00F53071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071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76629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76629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инженерных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76629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76629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76629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</w:p>
          <w:p w:rsidR="00C1098E" w:rsidRPr="00766299" w:rsidRDefault="009520DA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66299">
        <w:rPr>
          <w:rFonts w:ascii="Times New Roman" w:hAnsi="Times New Roman" w:cs="Times New Roman"/>
          <w:sz w:val="20"/>
          <w:szCs w:val="20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76629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766299" w:rsidRDefault="00F53071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071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76629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76629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66299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76629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</w:t>
      </w:r>
      <w:r w:rsidR="00A97326" w:rsidRPr="00AD6F22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="00A9732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76629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76629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sz w:val="20"/>
          <w:szCs w:val="20"/>
        </w:rPr>
        <w:t>нженерные изысканий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аттестации, 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выданных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76629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7662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76629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</w:rPr>
        <w:t>6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 xml:space="preserve">о работах по </w:t>
      </w:r>
      <w:r w:rsidR="00FA5852" w:rsidRPr="0076629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нженерным изысканиям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76629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766299" w:rsidRDefault="00343E96" w:rsidP="0076629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указание на заключение с использованием конкурентных способов заключения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76629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76629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766299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76629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</w:t>
      </w:r>
      <w:r w:rsidRPr="00766299">
        <w:rPr>
          <w:rFonts w:ascii="Times New Roman" w:eastAsia="Times New Roman" w:hAnsi="Times New Roman" w:cs="Times New Roman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757728" w:rsidRPr="0076629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br w:type="textWrapping" w:clear="all"/>
      </w:r>
      <w:r w:rsidR="00757728"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  </w:t>
      </w:r>
      <w:r w:rsidRPr="0076629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76629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766299">
        <w:rPr>
          <w:rFonts w:ascii="Times New Roman" w:eastAsia="Times New Roman" w:hAnsi="Times New Roman" w:cs="Times New Roman"/>
        </w:rPr>
        <w:t xml:space="preserve">    Телефон:</w:t>
      </w:r>
      <w:r w:rsidR="00B6488F" w:rsidRPr="00766299">
        <w:rPr>
          <w:rFonts w:ascii="Times New Roman" w:eastAsia="Times New Roman" w:hAnsi="Times New Roman" w:cs="Times New Roman"/>
        </w:rPr>
        <w:t xml:space="preserve"> </w:t>
      </w:r>
      <w:r w:rsidR="001D6390" w:rsidRPr="00766299">
        <w:rPr>
          <w:rFonts w:ascii="Times New Roman" w:eastAsia="Times New Roman" w:hAnsi="Times New Roman" w:cs="Times New Roman"/>
        </w:rPr>
        <w:t>______________________</w:t>
      </w:r>
      <w:r w:rsidRPr="0076629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76629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 xml:space="preserve">                                     </w:t>
      </w:r>
      <w:r w:rsidRPr="0076629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76629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по </w:t>
      </w:r>
      <w:proofErr w:type="gramStart"/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инженерным</w:t>
      </w:r>
      <w:proofErr w:type="gramEnd"/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по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76629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76629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071" w:rsidRPr="00F53071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76629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766299" w:rsidSect="00A95D91">
          <w:headerReference w:type="default" r:id="rId18"/>
          <w:headerReference w:type="first" r:id="rId19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76629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76629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76629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76629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071" w:rsidRPr="00F53071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76629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76629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76629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76629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76629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766299" w:rsidRDefault="00F53071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71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76629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299" w:rsidRPr="00766299" w:rsidRDefault="001E070D" w:rsidP="0076629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82A7B" w:rsidRPr="007662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76629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76629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76629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1</w:t>
      </w:r>
      <w:r w:rsidR="008E61A0" w:rsidRPr="00766299">
        <w:rPr>
          <w:rFonts w:ascii="Times New Roman" w:eastAsia="Times New Roman" w:hAnsi="Times New Roman" w:cs="Times New Roman"/>
          <w:bCs/>
        </w:rPr>
        <w:t>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  <w:r w:rsidR="000A26AE" w:rsidRPr="00766299">
        <w:rPr>
          <w:rFonts w:ascii="Times New Roman" w:eastAsia="Times New Roman" w:hAnsi="Times New Roman" w:cs="Times New Roman"/>
          <w:b/>
        </w:rPr>
        <w:t>*</w:t>
      </w:r>
      <w:r w:rsidRPr="0076629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766299">
        <w:rPr>
          <w:rFonts w:ascii="Times New Roman" w:eastAsia="Times New Roman" w:hAnsi="Times New Roman" w:cs="Times New Roman"/>
          <w:b/>
        </w:rPr>
        <w:t>работ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 </w:t>
      </w:r>
      <w:r w:rsidR="00320E29" w:rsidRPr="00766299">
        <w:rPr>
          <w:rFonts w:ascii="Times New Roman" w:eastAsia="Times New Roman" w:hAnsi="Times New Roman" w:cs="Times New Roman"/>
          <w:b/>
          <w:sz w:val="24"/>
          <w:szCs w:val="24"/>
        </w:rPr>
        <w:t>по и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нженерным изысканиям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Приложить копии договоро</w:t>
      </w:r>
      <w:r w:rsidR="00A97326">
        <w:rPr>
          <w:rFonts w:ascii="Times New Roman" w:eastAsia="Times New Roman" w:hAnsi="Times New Roman" w:cs="Times New Roman"/>
        </w:rPr>
        <w:t>в аренды (субаренды)</w:t>
      </w:r>
      <w:r w:rsidR="00336735" w:rsidRPr="0076629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76629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766299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</w:t>
      </w:r>
      <w:r w:rsidR="00D97F0B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766299">
        <w:rPr>
          <w:rFonts w:ascii="Times New Roman" w:eastAsia="Times New Roman" w:hAnsi="Times New Roman" w:cs="Times New Roman"/>
        </w:rPr>
        <w:t>.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76629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</w:t>
      </w:r>
      <w:r w:rsidRPr="0076629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9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52" w:rsidRDefault="00550552">
      <w:pPr>
        <w:spacing w:line="240" w:lineRule="auto"/>
      </w:pPr>
      <w:r>
        <w:separator/>
      </w:r>
    </w:p>
  </w:endnote>
  <w:endnote w:type="continuationSeparator" w:id="0">
    <w:p w:rsidR="00550552" w:rsidRDefault="00550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F53071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AD6F22" w:rsidRDefault="00C42C6D">
    <w:pPr>
      <w:pStyle w:val="af9"/>
      <w:jc w:val="right"/>
      <w:rPr>
        <w:rFonts w:ascii="Times New Roman" w:hAnsi="Times New Roman"/>
        <w:sz w:val="20"/>
        <w:szCs w:val="20"/>
      </w:rPr>
    </w:pPr>
  </w:p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52" w:rsidRDefault="00550552">
      <w:pPr>
        <w:spacing w:line="240" w:lineRule="auto"/>
      </w:pPr>
      <w:r>
        <w:separator/>
      </w:r>
    </w:p>
  </w:footnote>
  <w:footnote w:type="continuationSeparator" w:id="0">
    <w:p w:rsidR="00550552" w:rsidRDefault="005505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F53071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F53071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>
    <w:pPr>
      <w:pStyle w:val="af7"/>
      <w:jc w:val="center"/>
    </w:pPr>
  </w:p>
  <w:p w:rsidR="00C42C6D" w:rsidRPr="002F4C90" w:rsidRDefault="00C42C6D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2F4C90" w:rsidRDefault="00C42C6D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17C7D"/>
    <w:rsid w:val="00031F8A"/>
    <w:rsid w:val="000331EB"/>
    <w:rsid w:val="0003449B"/>
    <w:rsid w:val="0004056D"/>
    <w:rsid w:val="0005129D"/>
    <w:rsid w:val="00071B44"/>
    <w:rsid w:val="00082ED6"/>
    <w:rsid w:val="000A18D4"/>
    <w:rsid w:val="000A26AE"/>
    <w:rsid w:val="000B453B"/>
    <w:rsid w:val="000B4B50"/>
    <w:rsid w:val="000D0754"/>
    <w:rsid w:val="000D33E8"/>
    <w:rsid w:val="000E0C9D"/>
    <w:rsid w:val="000F1697"/>
    <w:rsid w:val="000F225C"/>
    <w:rsid w:val="000F5161"/>
    <w:rsid w:val="000F663D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338A"/>
    <w:rsid w:val="00164F92"/>
    <w:rsid w:val="00170CA2"/>
    <w:rsid w:val="00176B78"/>
    <w:rsid w:val="00176D08"/>
    <w:rsid w:val="001828F9"/>
    <w:rsid w:val="00182A7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7D3"/>
    <w:rsid w:val="00245D2B"/>
    <w:rsid w:val="00252627"/>
    <w:rsid w:val="002632A9"/>
    <w:rsid w:val="00264F41"/>
    <w:rsid w:val="0026748F"/>
    <w:rsid w:val="002706C1"/>
    <w:rsid w:val="00277102"/>
    <w:rsid w:val="00283EA9"/>
    <w:rsid w:val="0028732C"/>
    <w:rsid w:val="002960B0"/>
    <w:rsid w:val="002B0BF3"/>
    <w:rsid w:val="002B7A5E"/>
    <w:rsid w:val="002C04FC"/>
    <w:rsid w:val="002C359F"/>
    <w:rsid w:val="002C520A"/>
    <w:rsid w:val="002C594A"/>
    <w:rsid w:val="002D23FC"/>
    <w:rsid w:val="002E2D64"/>
    <w:rsid w:val="002F043D"/>
    <w:rsid w:val="002F4C90"/>
    <w:rsid w:val="00304882"/>
    <w:rsid w:val="003064DA"/>
    <w:rsid w:val="00313E36"/>
    <w:rsid w:val="00320E29"/>
    <w:rsid w:val="00322285"/>
    <w:rsid w:val="00330304"/>
    <w:rsid w:val="00333878"/>
    <w:rsid w:val="00336497"/>
    <w:rsid w:val="00336735"/>
    <w:rsid w:val="00343E96"/>
    <w:rsid w:val="00344D57"/>
    <w:rsid w:val="00352CC5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F3145"/>
    <w:rsid w:val="003F6DA7"/>
    <w:rsid w:val="004024F5"/>
    <w:rsid w:val="004027A1"/>
    <w:rsid w:val="004028C6"/>
    <w:rsid w:val="0042405F"/>
    <w:rsid w:val="004304DC"/>
    <w:rsid w:val="004455EB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4F4232"/>
    <w:rsid w:val="00501461"/>
    <w:rsid w:val="005112E9"/>
    <w:rsid w:val="00522918"/>
    <w:rsid w:val="00531B48"/>
    <w:rsid w:val="00536EF7"/>
    <w:rsid w:val="00550552"/>
    <w:rsid w:val="00595ACE"/>
    <w:rsid w:val="00596A9D"/>
    <w:rsid w:val="005A1BAB"/>
    <w:rsid w:val="005B2C47"/>
    <w:rsid w:val="005B748B"/>
    <w:rsid w:val="005C3650"/>
    <w:rsid w:val="005D3E68"/>
    <w:rsid w:val="005D688C"/>
    <w:rsid w:val="005E40C3"/>
    <w:rsid w:val="005E72F5"/>
    <w:rsid w:val="005F3F2E"/>
    <w:rsid w:val="006027F1"/>
    <w:rsid w:val="00603A37"/>
    <w:rsid w:val="00603AF4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77A00"/>
    <w:rsid w:val="00680D4E"/>
    <w:rsid w:val="00686AA3"/>
    <w:rsid w:val="00687D65"/>
    <w:rsid w:val="006A2175"/>
    <w:rsid w:val="006B19D7"/>
    <w:rsid w:val="006B2248"/>
    <w:rsid w:val="006B3A05"/>
    <w:rsid w:val="006B3AD7"/>
    <w:rsid w:val="006C04FB"/>
    <w:rsid w:val="006C0F7D"/>
    <w:rsid w:val="006C5652"/>
    <w:rsid w:val="006C60E7"/>
    <w:rsid w:val="006D49F7"/>
    <w:rsid w:val="006E7026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299"/>
    <w:rsid w:val="00766584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1D5"/>
    <w:rsid w:val="008A5848"/>
    <w:rsid w:val="008A7DAD"/>
    <w:rsid w:val="008B1739"/>
    <w:rsid w:val="008B452B"/>
    <w:rsid w:val="008D06B2"/>
    <w:rsid w:val="008D493E"/>
    <w:rsid w:val="008D4C83"/>
    <w:rsid w:val="008E61A0"/>
    <w:rsid w:val="009028AC"/>
    <w:rsid w:val="00902FBC"/>
    <w:rsid w:val="009057F7"/>
    <w:rsid w:val="00905A37"/>
    <w:rsid w:val="00913699"/>
    <w:rsid w:val="00921129"/>
    <w:rsid w:val="00923798"/>
    <w:rsid w:val="0092615A"/>
    <w:rsid w:val="0093430F"/>
    <w:rsid w:val="009520DA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C11B2"/>
    <w:rsid w:val="009D59F7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37A71"/>
    <w:rsid w:val="00A52413"/>
    <w:rsid w:val="00A53804"/>
    <w:rsid w:val="00A54388"/>
    <w:rsid w:val="00A566E8"/>
    <w:rsid w:val="00A61C2F"/>
    <w:rsid w:val="00A622F3"/>
    <w:rsid w:val="00A63E43"/>
    <w:rsid w:val="00A87C9D"/>
    <w:rsid w:val="00A87F27"/>
    <w:rsid w:val="00A91A43"/>
    <w:rsid w:val="00A92554"/>
    <w:rsid w:val="00A946A2"/>
    <w:rsid w:val="00A95D91"/>
    <w:rsid w:val="00A97326"/>
    <w:rsid w:val="00AA25F5"/>
    <w:rsid w:val="00AA37F8"/>
    <w:rsid w:val="00AA748C"/>
    <w:rsid w:val="00AB1FFC"/>
    <w:rsid w:val="00AC37CE"/>
    <w:rsid w:val="00AD6F22"/>
    <w:rsid w:val="00AE0B1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A1A17"/>
    <w:rsid w:val="00BB030F"/>
    <w:rsid w:val="00BD218F"/>
    <w:rsid w:val="00BD3690"/>
    <w:rsid w:val="00BD74E0"/>
    <w:rsid w:val="00BE0052"/>
    <w:rsid w:val="00BE69E1"/>
    <w:rsid w:val="00BF1C3B"/>
    <w:rsid w:val="00BF2C36"/>
    <w:rsid w:val="00BF45D2"/>
    <w:rsid w:val="00BF52E8"/>
    <w:rsid w:val="00C01749"/>
    <w:rsid w:val="00C02610"/>
    <w:rsid w:val="00C028AA"/>
    <w:rsid w:val="00C1098E"/>
    <w:rsid w:val="00C13212"/>
    <w:rsid w:val="00C14E65"/>
    <w:rsid w:val="00C151F2"/>
    <w:rsid w:val="00C2100D"/>
    <w:rsid w:val="00C21206"/>
    <w:rsid w:val="00C332F9"/>
    <w:rsid w:val="00C42C6D"/>
    <w:rsid w:val="00C529F3"/>
    <w:rsid w:val="00C52E31"/>
    <w:rsid w:val="00C65FFE"/>
    <w:rsid w:val="00C73892"/>
    <w:rsid w:val="00C73C90"/>
    <w:rsid w:val="00C73DAE"/>
    <w:rsid w:val="00C959ED"/>
    <w:rsid w:val="00C96EF7"/>
    <w:rsid w:val="00CB27B5"/>
    <w:rsid w:val="00CD0DC3"/>
    <w:rsid w:val="00CD5902"/>
    <w:rsid w:val="00CF0D2B"/>
    <w:rsid w:val="00D12513"/>
    <w:rsid w:val="00D13603"/>
    <w:rsid w:val="00D17C99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F0B"/>
    <w:rsid w:val="00DB1556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443C"/>
    <w:rsid w:val="00E5670D"/>
    <w:rsid w:val="00E65EBA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182A"/>
    <w:rsid w:val="00EF606B"/>
    <w:rsid w:val="00EF7546"/>
    <w:rsid w:val="00F15C1C"/>
    <w:rsid w:val="00F1732B"/>
    <w:rsid w:val="00F26BB5"/>
    <w:rsid w:val="00F353C2"/>
    <w:rsid w:val="00F428C3"/>
    <w:rsid w:val="00F53071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2457D3"/>
    <w:rPr>
      <w:color w:val="0000FF"/>
      <w:u w:val="single"/>
    </w:rPr>
  </w:style>
  <w:style w:type="paragraph" w:customStyle="1" w:styleId="ConsPlusTitle">
    <w:name w:val="ConsPlusTitle"/>
    <w:uiPriority w:val="99"/>
    <w:rsid w:val="002457D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2457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analiz.docx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analiz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ownloads\analiz.doc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analiz.docx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7E91B9-E50E-41D2-8439-36B78846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49610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3</cp:revision>
  <cp:lastPrinted>2017-06-09T11:47:00Z</cp:lastPrinted>
  <dcterms:created xsi:type="dcterms:W3CDTF">2019-12-17T07:00:00Z</dcterms:created>
  <dcterms:modified xsi:type="dcterms:W3CDTF">2019-12-17T07:00:00Z</dcterms:modified>
</cp:coreProperties>
</file>